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89" w:rsidRPr="003A540B" w:rsidRDefault="003F3289" w:rsidP="00FF61CB">
      <w:pPr>
        <w:ind w:firstLine="720"/>
        <w:rPr>
          <w:rFonts w:ascii="TH SarabunIT๙" w:hAnsi="TH SarabunIT๙" w:cs="TH SarabunIT๙"/>
          <w:sz w:val="28"/>
          <w:szCs w:val="28"/>
        </w:rPr>
      </w:pPr>
      <w:bookmarkStart w:id="0" w:name="_GoBack"/>
      <w:bookmarkEnd w:id="0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สถาบันคุณวุฒิวิชาชีพ (องค์การมหาชน) ร่วมกับ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Federal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Institute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of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Vocational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Training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and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Education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(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BIBB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) </w:t>
      </w:r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และ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German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International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Cooperation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(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GIZ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) </w:t>
      </w:r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จากประเทศเยอรมนีจัดการสัมมนา เรื่อง การพัฒนามาตรฐานอาชีพผู้สอนและผู้ฝึกด้านวิชาชีพ : กรณีศึกษาจากผู้สอนและผู้ฝึกสาขาแมคคาทรอนิกส์ (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Seminar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on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Development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of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Vocational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Trainer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Standards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in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Thailand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: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the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Case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Study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of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Mechatronics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Trainer</w:t>
      </w:r>
      <w:proofErr w:type="spellEnd"/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) </w:t>
      </w:r>
      <w:r w:rsidR="003A540B">
        <w:rPr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>โดย</w:t>
      </w:r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มีวัตถุประสงค์เพื่อเป็นการระดมความคิดเห็นและรวบรวมข้อมูลในการจัดทำมาตรฐานอาชีพและคุณวุฒิวิ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ชาชีพผู้สอนและผู้ฝ</w:t>
      </w:r>
      <w:r w:rsid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ึกด้านวิชาชีพ สาขาแมคคาทรอนิกส์</w:t>
      </w:r>
      <w:r w:rsidR="00813984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>ทั้ง</w:t>
      </w:r>
      <w:r w:rsidR="003A540B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 xml:space="preserve">ภายในและต่างประเทศ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โดย</w:t>
      </w:r>
      <w:r w:rsidR="003A540B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>มี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นายวีระชัย ศรีขจร ผู้อำนวยการ</w:t>
      </w:r>
      <w:r w:rsidR="003A540B"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สถาบันคุณวิชาชีพ (องค์การมหาชน)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 </w:t>
      </w:r>
      <w:r w:rsidR="003A540B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>เป็นประธานในพิธี</w:t>
      </w:r>
      <w:r w:rsidR="00813984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>เปิด</w:t>
      </w:r>
      <w:r w:rsid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กล่าวต้อนรับผู้ร่วมงาน</w:t>
      </w:r>
      <w:r w:rsidR="00813984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 xml:space="preserve"> </w:t>
      </w:r>
      <w:r w:rsidR="00FF61CB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>ตามด้วยการ</w:t>
      </w:r>
      <w:r w:rsidR="003A540B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 xml:space="preserve">บรรยายโดย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นายนิธิ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วัช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ร์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 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ศิ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ริ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ปริย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พงศ์ ผู้แทนจากสถาบันคุณวิชาชีพ</w:t>
      </w:r>
      <w:r w:rsidR="003A540B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>ฯ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 </w:t>
      </w:r>
      <w:r w:rsidR="003A540B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>ซึ่ง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กล่าวถึงภาพรวมของมาตรฐานอาชีพสาขาแมคคาทรอนิกส์</w:t>
      </w:r>
      <w:r w:rsidR="00813984">
        <w:rPr>
          <w:rStyle w:val="apple-converted-space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>ที่สถาบันคุณวุฒิวิชาชีพได้จัดทำมาตรฐานวิชาชีพ และได้จัดตั้งองค์กรที่มีหน้าที่รับรองสมรรถนะของบุคคลตามมาตรฐานอาชีพ</w:t>
      </w:r>
      <w:r w:rsidR="00813984"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สาขาแมคคาทรอนิกส์</w:t>
      </w:r>
      <w:r w:rsidR="00813984">
        <w:rPr>
          <w:rStyle w:val="apple-converted-space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 xml:space="preserve">ตามมหาวิทยาลัยเทคโนโลยีต่างๆ </w:t>
      </w:r>
      <w:r w:rsidRPr="003A540B">
        <w:rPr>
          <w:rStyle w:val="apple-converted-space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 </w:t>
      </w:r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br/>
      </w:r>
      <w:r w:rsidR="003A540B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 xml:space="preserve"> </w:t>
      </w:r>
      <w:r w:rsidR="003A540B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ab/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ในช่วงเช้า ได้มีการบรรยายเกี่ยวกับมาตรฐานสำหรับผู้ฝึกอบรมในสถานประกอบการในแถบอาเซียน โดยคุณศิริพร ภา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วิขัมภ์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 ผู้จัดการโครงการ 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GIZ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ซึ่งเป็นการสร้างความรู้ความเข้าใจระบบการทำงาน ระบบมาตรฐานของผู้ฝึกในสถานประกอบการในแถบอาเซียน</w:t>
      </w:r>
      <w:r w:rsidRPr="003A540B">
        <w:rPr>
          <w:rStyle w:val="apple-converted-space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 </w:t>
      </w:r>
      <w:r w:rsidRPr="003A540B">
        <w:rPr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br/>
      </w:r>
      <w:r w:rsidR="003A540B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 xml:space="preserve"> </w:t>
      </w:r>
      <w:r w:rsidR="003A540B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ab/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ในช่วงบ่ายมีการบรรยายเกี่ยวกับคุณวุฒิวิชาชีพที่จำเป็นในฐานะผู้สอนและผู้ฝึกด้านวิชาชีพแมคคาทรอนิกส์ ในส่วนของการพัฒนาหลักสูตรการฝึกอบรม โดยนาย 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Herbert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Tutschner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, 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Head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of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department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BIBB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ซึ่งมีผู้เข้าร่วมประชุมจากหน่วยงานการศึกษาต่างๆ สถานประกอบการ และหน่วยงานราชการที่เกี่ยวข้องร่วมแลกเปลี่ยนประสบการณ์เกี่ยวกับสมรรถนะที่จำเป็นของผู้สอนและผู้ฝึกด้านวิชาชีพกับผู้เชี่ยวชาญชาวไทยและชาวเยอรมันจาก 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BIBB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และ 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>GIZ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รวมถึงหอการค้าเยอรมัน-ไทย จำนวนกว่า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70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คน เมื่อวันที่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21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กรกฎาคม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2558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ณ ห้องลาดพร้าว</w:t>
      </w:r>
      <w:r w:rsidR="003A540B">
        <w:rPr>
          <w:rStyle w:val="textexposedshow"/>
          <w:rFonts w:ascii="TH SarabunIT๙" w:hAnsi="TH SarabunIT๙" w:cs="TH SarabunIT๙" w:hint="cs"/>
          <w:color w:val="141823"/>
          <w:sz w:val="28"/>
          <w:szCs w:val="28"/>
          <w:shd w:val="clear" w:color="auto" w:fill="FFFFFF"/>
          <w:cs/>
        </w:rPr>
        <w:t xml:space="preserve">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</w:rPr>
        <w:t xml:space="preserve">3-4 </w:t>
      </w:r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โรงแรมเซนทารา แก</w:t>
      </w:r>
      <w:proofErr w:type="spellStart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>รนด์</w:t>
      </w:r>
      <w:proofErr w:type="spellEnd"/>
      <w:r w:rsidRPr="003A540B">
        <w:rPr>
          <w:rStyle w:val="textexposedshow"/>
          <w:rFonts w:ascii="TH SarabunIT๙" w:hAnsi="TH SarabunIT๙" w:cs="TH SarabunIT๙"/>
          <w:color w:val="141823"/>
          <w:sz w:val="28"/>
          <w:szCs w:val="28"/>
          <w:shd w:val="clear" w:color="auto" w:fill="FFFFFF"/>
          <w:cs/>
        </w:rPr>
        <w:t xml:space="preserve"> ลาดพร้าว</w:t>
      </w:r>
    </w:p>
    <w:sectPr w:rsidR="003F3289" w:rsidRPr="003A5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44"/>
    <w:rsid w:val="003A540B"/>
    <w:rsid w:val="003F3289"/>
    <w:rsid w:val="00433144"/>
    <w:rsid w:val="00813984"/>
    <w:rsid w:val="00841248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44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433144"/>
  </w:style>
  <w:style w:type="character" w:customStyle="1" w:styleId="apple-converted-space">
    <w:name w:val="apple-converted-space"/>
    <w:basedOn w:val="DefaultParagraphFont"/>
    <w:rsid w:val="003F3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44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433144"/>
  </w:style>
  <w:style w:type="character" w:customStyle="1" w:styleId="apple-converted-space">
    <w:name w:val="apple-converted-space"/>
    <w:basedOn w:val="DefaultParagraphFont"/>
    <w:rsid w:val="003F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Thanchanok Bhorntus</dc:creator>
  <cp:lastModifiedBy>Thanchanok Bhorntus</cp:lastModifiedBy>
  <cp:revision>1</cp:revision>
  <cp:lastPrinted>2015-07-21T08:32:00Z</cp:lastPrinted>
  <dcterms:created xsi:type="dcterms:W3CDTF">2015-07-21T08:26:00Z</dcterms:created>
  <dcterms:modified xsi:type="dcterms:W3CDTF">2015-07-21T09:46:00Z</dcterms:modified>
</cp:coreProperties>
</file>